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21" w:rsidRDefault="00820BD0">
      <w:pPr>
        <w:pStyle w:val="Tit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Privacy policy web </w:t>
      </w:r>
    </w:p>
    <w:p w:rsidR="00770053" w:rsidRDefault="00770053" w:rsidP="00770053">
      <w:pPr>
        <w:pStyle w:val="Title"/>
        <w:spacing w:before="720"/>
      </w:pPr>
      <w:bookmarkStart w:id="0" w:name="_GoBack"/>
    </w:p>
    <w:bookmarkEnd w:id="0"/>
    <w:p w:rsidR="00AD2621" w:rsidRDefault="00820BD0">
      <w:pPr>
        <w:pStyle w:val="Heading2"/>
        <w:numPr>
          <w:ilvl w:val="1"/>
          <w:numId w:val="5"/>
        </w:numPr>
      </w:pPr>
      <w:r>
        <w:t>1. Pe</w:t>
      </w:r>
      <w:r>
        <w:t>rché questa informativa</w:t>
      </w:r>
    </w:p>
    <w:p w:rsidR="00AD2621" w:rsidRDefault="00820BD0">
      <w:pPr>
        <w:pStyle w:val="BodyText"/>
        <w:rPr>
          <w:rFonts w:hint="eastAsia"/>
        </w:rPr>
      </w:pPr>
      <w:r>
        <w:t>Ai sensi del Regolamento UE 2016/679 (</w:t>
      </w:r>
      <w:r>
        <w:rPr>
          <w:b/>
          <w:bCs/>
        </w:rPr>
        <w:t>Regolamento</w:t>
      </w:r>
      <w:r>
        <w:t xml:space="preserve"> nel seguito) </w:t>
      </w:r>
      <w:r>
        <w:t>e del Decreto Legislativo 30 giugno 2003, n. 196 e s.m.i,</w:t>
      </w:r>
      <w:r>
        <w:t xml:space="preserve"> q</w:t>
      </w:r>
      <w:r>
        <w:t>uesta informativa descrive le modalità di trattamento dei dati personali degli utenti che consultano le pagine</w:t>
      </w:r>
      <w:r>
        <w:t xml:space="preserve"> web e ne utilizzano gli eventuali servizi agli indirizzi:</w:t>
      </w:r>
    </w:p>
    <w:p w:rsidR="00AD2621" w:rsidRPr="00D74EE4" w:rsidRDefault="00820BD0" w:rsidP="00D74EE4">
      <w:pPr>
        <w:pStyle w:val="BodyText"/>
        <w:ind w:left="720"/>
        <w:rPr>
          <w:rFonts w:hint="eastAsia"/>
        </w:rPr>
      </w:pPr>
      <w:r w:rsidRPr="00D74EE4">
        <w:t>www.</w:t>
      </w:r>
      <w:r w:rsidR="00D74EE4" w:rsidRPr="00D74EE4">
        <w:t>pd</w:t>
      </w:r>
      <w:r w:rsidRPr="00D74EE4">
        <w:t>.infn.it</w:t>
      </w:r>
    </w:p>
    <w:p w:rsidR="00AD2621" w:rsidRDefault="00820BD0">
      <w:pPr>
        <w:pStyle w:val="BodyText"/>
        <w:rPr>
          <w:rFonts w:hint="eastAsia"/>
        </w:rPr>
      </w:pPr>
      <w:r>
        <w:t>È</w:t>
      </w:r>
      <w:r>
        <w:t xml:space="preserve"> rivolta a chi interagisce con i siti sopra elencati e non con altri, eventualmente raggiunti tramite link lì presenti, ma riferiti a risorse esterne.</w:t>
      </w:r>
    </w:p>
    <w:p w:rsidR="00AD2621" w:rsidRDefault="00820BD0">
      <w:pPr>
        <w:pStyle w:val="Heading2"/>
        <w:numPr>
          <w:ilvl w:val="1"/>
          <w:numId w:val="5"/>
        </w:numPr>
      </w:pPr>
      <w:r>
        <w:t>2. Il Titolare del trattamento</w:t>
      </w:r>
    </w:p>
    <w:p w:rsidR="00AD2621" w:rsidRDefault="00820BD0">
      <w:pPr>
        <w:pStyle w:val="BodyText"/>
        <w:spacing w:after="0"/>
        <w:ind w:left="708"/>
        <w:rPr>
          <w:rFonts w:hint="eastAsia"/>
        </w:rPr>
      </w:pPr>
      <w:r>
        <w:t>Istituto Nazionale di Fisica Nucleare (INFN)</w:t>
      </w:r>
    </w:p>
    <w:p w:rsidR="00AD2621" w:rsidRDefault="00820BD0">
      <w:pPr>
        <w:pStyle w:val="BodyText"/>
        <w:spacing w:after="0"/>
        <w:ind w:left="708"/>
        <w:rPr>
          <w:rFonts w:hint="eastAsia"/>
        </w:rPr>
      </w:pPr>
      <w:r>
        <w:t xml:space="preserve">Via E. Fermi n. </w:t>
      </w:r>
      <w:r>
        <w:t>54</w:t>
      </w:r>
      <w:r>
        <w:t>, Frascati (Roma)</w:t>
      </w:r>
    </w:p>
    <w:p w:rsidR="00AD2621" w:rsidRDefault="00820BD0">
      <w:pPr>
        <w:pStyle w:val="BodyText"/>
        <w:spacing w:after="0"/>
        <w:ind w:left="708"/>
        <w:rPr>
          <w:rFonts w:hint="eastAsia"/>
        </w:rPr>
      </w:pPr>
      <w:r>
        <w:t xml:space="preserve">email: </w:t>
      </w:r>
      <w:hyperlink r:id="rId7">
        <w:r>
          <w:rPr>
            <w:rFonts w:ascii="DejaVu Sans Mono" w:hAnsi="DejaVu Sans Mono"/>
            <w:b/>
            <w:bCs/>
            <w:color w:val="0000FF"/>
          </w:rPr>
          <w:t>presidenza@presid.infn.it</w:t>
        </w:r>
      </w:hyperlink>
    </w:p>
    <w:p w:rsidR="00AD2621" w:rsidRDefault="00820BD0">
      <w:pPr>
        <w:pStyle w:val="BodyText"/>
        <w:spacing w:after="0"/>
        <w:ind w:left="708"/>
        <w:rPr>
          <w:rFonts w:hint="eastAsia"/>
        </w:rPr>
      </w:pPr>
      <w:r>
        <w:t>PEC:</w:t>
      </w:r>
      <w:r>
        <w:rPr>
          <w:rFonts w:ascii="DejaVu Sans Mono" w:hAnsi="DejaVu Sans Mono"/>
        </w:rPr>
        <w:t xml:space="preserve"> </w:t>
      </w:r>
      <w:hyperlink r:id="rId8">
        <w:r>
          <w:rPr>
            <w:rFonts w:ascii="DejaVu Sans Mono" w:hAnsi="DejaVu Sans Mono"/>
            <w:b/>
            <w:bCs/>
            <w:color w:val="0000FF"/>
          </w:rPr>
          <w:t>amm.ne.centrale@pec.infn.it</w:t>
        </w:r>
      </w:hyperlink>
    </w:p>
    <w:p w:rsidR="00AD2621" w:rsidRDefault="00820BD0">
      <w:pPr>
        <w:pStyle w:val="Heading2"/>
        <w:numPr>
          <w:ilvl w:val="1"/>
          <w:numId w:val="5"/>
        </w:numPr>
      </w:pPr>
      <w:r>
        <w:t>3. Il Responsabile della protezione dei dati</w:t>
      </w:r>
    </w:p>
    <w:p w:rsidR="00AD2621" w:rsidRDefault="00820BD0">
      <w:pPr>
        <w:pStyle w:val="BodyText"/>
        <w:rPr>
          <w:rFonts w:hint="eastAsia"/>
        </w:rPr>
      </w:pPr>
      <w:r>
        <w:t xml:space="preserve">Il Responsabile per la Protezione dei Dati è raggiungibile all’indirizzo email </w:t>
      </w:r>
      <w:hyperlink r:id="rId9">
        <w:r>
          <w:rPr>
            <w:rFonts w:ascii="DejaVu Sans Mono" w:hAnsi="DejaVu Sans Mono"/>
            <w:b/>
            <w:bCs/>
            <w:color w:val="0000FF"/>
          </w:rPr>
          <w:t>dpo@infn.it</w:t>
        </w:r>
      </w:hyperlink>
    </w:p>
    <w:p w:rsidR="00AD2621" w:rsidRDefault="00820BD0">
      <w:pPr>
        <w:pStyle w:val="Heading2"/>
        <w:numPr>
          <w:ilvl w:val="1"/>
          <w:numId w:val="5"/>
        </w:numPr>
      </w:pPr>
      <w:r>
        <w:lastRenderedPageBreak/>
        <w:t>4. Il trattamento dei dati personali via web</w:t>
      </w:r>
    </w:p>
    <w:p w:rsidR="00AD2621" w:rsidRDefault="00820BD0">
      <w:pPr>
        <w:pStyle w:val="BodyText"/>
        <w:numPr>
          <w:ilvl w:val="0"/>
          <w:numId w:val="5"/>
        </w:numPr>
        <w:rPr>
          <w:rFonts w:hint="eastAsia"/>
        </w:rPr>
      </w:pPr>
      <w:r>
        <w:t>I dati p</w:t>
      </w:r>
      <w:r>
        <w:t xml:space="preserve">ersonali indicati in questa pagina sono trattati dall’INFN </w:t>
      </w:r>
      <w:r>
        <w:t>per il raggiungimento dei propri fini istituzionali, tra cui quello di promuovere e provvedere alla formazione scientifica e alla diffusione della cultura nei settori istituzionali, sempre comunque</w:t>
      </w:r>
      <w:r>
        <w:t xml:space="preserve"> nell’esecuzione dei propri compiti di interesse pubblico o connessi all’esercizio di pubblici poteri.</w:t>
      </w:r>
    </w:p>
    <w:p w:rsidR="00AD2621" w:rsidRDefault="00820BD0">
      <w:pPr>
        <w:pStyle w:val="BodyText"/>
        <w:rPr>
          <w:rFonts w:hint="eastAsia"/>
        </w:rPr>
      </w:pPr>
      <w:r>
        <w:t>Per trattamento si intendono tutte le operazioni o complesso di operazioni riguardanti la raccolta, registrazione, organizzazione, conservazione, consult</w:t>
      </w:r>
      <w:r>
        <w:t>azione, elaborazione, modificazione, selezione, estrazione, raffronto, utilizzo, interconnessione, blocco, comunicazione, cancellazione e distruzione dei dati.</w:t>
      </w:r>
    </w:p>
    <w:p w:rsidR="00AD2621" w:rsidRDefault="00820BD0">
      <w:pPr>
        <w:pStyle w:val="BodyText"/>
        <w:rPr>
          <w:rFonts w:hint="eastAsia"/>
        </w:rPr>
      </w:pPr>
      <w:r>
        <w:t>I dati trattati attraverso l’utilizzo delle pagine web dell’Istituto sono dei tipi sotto specifi</w:t>
      </w:r>
      <w:r>
        <w:t>cati</w:t>
      </w:r>
    </w:p>
    <w:p w:rsidR="00AD2621" w:rsidRDefault="00820BD0">
      <w:pPr>
        <w:pStyle w:val="Heading2"/>
        <w:numPr>
          <w:ilvl w:val="1"/>
          <w:numId w:val="2"/>
        </w:numPr>
      </w:pPr>
      <w:r>
        <w:t>5. Tipi di dati trattati</w:t>
      </w:r>
    </w:p>
    <w:p w:rsidR="00AD2621" w:rsidRDefault="00820BD0">
      <w:pPr>
        <w:pStyle w:val="Heading3"/>
        <w:numPr>
          <w:ilvl w:val="2"/>
          <w:numId w:val="3"/>
        </w:numPr>
      </w:pPr>
      <w:r>
        <w:rPr>
          <w:rStyle w:val="Enfasiforte"/>
          <w:b w:val="0"/>
          <w:bCs w:val="0"/>
        </w:rPr>
        <w:t>5.1 Dati di navigazione</w:t>
      </w:r>
    </w:p>
    <w:p w:rsidR="00AD2621" w:rsidRDefault="00820BD0">
      <w:pPr>
        <w:pStyle w:val="BodyText"/>
        <w:rPr>
          <w:rFonts w:hint="eastAsia"/>
        </w:rPr>
      </w:pPr>
      <w:r>
        <w:t>I sistemi informatici e le procedure software preposte al funzionamento di questo sito web acquisiscono, nel corso del loro normale esercizio, alcuni dati personali la cui trasmissione è implicita nell’</w:t>
      </w:r>
      <w:r>
        <w:t>uso dei protocolli di comunicazione di Internet. In questa categoria rientrano: gli indirizzi IP dell’utente, il tipo di browser utilizzato, gli indirizzi dei siti web dai quali è stato effettuato l’accesso, le pagine visitate all’interno del sito, l’orari</w:t>
      </w:r>
      <w:r>
        <w:t>o d’accesso, il codice numerico indicante lo stato della risposta data dal server e altri parametri relativi al sistema operativo e all’ambiente informatico dell’utente.</w:t>
      </w:r>
    </w:p>
    <w:p w:rsidR="00AD2621" w:rsidRDefault="00820BD0">
      <w:pPr>
        <w:pStyle w:val="BodyText"/>
        <w:rPr>
          <w:rFonts w:hint="eastAsia"/>
        </w:rPr>
      </w:pPr>
      <w:r>
        <w:t>Questi dati, necessari alla fruizione dei servizi web, sono utilizzati per ricavare informazioni statistiche anonime sull’uso del sito e per controllarne il corretto funzionamento. Gli stessi potrebbero essere utilizzati per l’accertamento di responsabilit</w:t>
      </w:r>
      <w:r>
        <w:t xml:space="preserve">à in caso di compimento di reati informatici o di atti di danneggiamento del sito. Salva questa eventualità, non sono conservati oltre il tempo necessario all’esecuzione delle verifiche volte a garantire la sicurezza del sistema, pari al massimo a </w:t>
      </w:r>
      <w:r>
        <w:t>30</w:t>
      </w:r>
      <w:r>
        <w:t xml:space="preserve"> giorn</w:t>
      </w:r>
      <w:r>
        <w:t>i.</w:t>
      </w:r>
    </w:p>
    <w:p w:rsidR="00AD2621" w:rsidRDefault="00820BD0">
      <w:pPr>
        <w:pStyle w:val="Heading3"/>
        <w:numPr>
          <w:ilvl w:val="2"/>
          <w:numId w:val="3"/>
        </w:numPr>
      </w:pPr>
      <w:r>
        <w:rPr>
          <w:rStyle w:val="Enfasiforte"/>
          <w:b w:val="0"/>
          <w:bCs w:val="0"/>
        </w:rPr>
        <w:t>5.2. Dati comunicati dall’utente</w:t>
      </w:r>
    </w:p>
    <w:p w:rsidR="00AD2621" w:rsidRDefault="00820BD0">
      <w:pPr>
        <w:pStyle w:val="BodyText"/>
        <w:rPr>
          <w:rFonts w:hint="eastAsia"/>
        </w:rPr>
      </w:pPr>
      <w:r>
        <w:t>Sono tutti quei dati personali forniti dall’utente durante la navigazione nel sito, ad esempio registrandosi, accedendo ad un’area riservata o a un servizio.</w:t>
      </w:r>
    </w:p>
    <w:p w:rsidR="00AD2621" w:rsidRDefault="00820BD0">
      <w:pPr>
        <w:pStyle w:val="BodyText"/>
        <w:rPr>
          <w:rFonts w:hint="eastAsia"/>
        </w:rPr>
      </w:pPr>
      <w:r>
        <w:t>I trattamenti posti in essere per queste finalità sono effettu</w:t>
      </w:r>
      <w:r>
        <w:t>ati con lo specifico consenso fornito dall’utente e i dati vengono conservati per la sola durata dell’attività richiesta. Specifiche informative possono essere pubblicate per l’erogazione di determinate attività.</w:t>
      </w:r>
    </w:p>
    <w:p w:rsidR="00AD2621" w:rsidRDefault="00820BD0">
      <w:pPr>
        <w:pStyle w:val="BodyText"/>
        <w:rPr>
          <w:rFonts w:hint="eastAsia"/>
        </w:rPr>
      </w:pPr>
      <w:r>
        <w:t>L’invio facoltativo, esplicito e volontario</w:t>
      </w:r>
      <w:r>
        <w:t xml:space="preserve"> di posta elettronica agli indirizzi indicati su questo sito comporta la successiva acquisizione dell’indirizzo del mittente, necessario per rispondere alle richieste, nonché degli eventuali altri dati personali inseriti nella missiva.</w:t>
      </w:r>
    </w:p>
    <w:p w:rsidR="00AD2621" w:rsidRDefault="00820BD0">
      <w:pPr>
        <w:pStyle w:val="BodyText"/>
        <w:rPr>
          <w:rFonts w:hint="eastAsia"/>
        </w:rPr>
      </w:pPr>
      <w:r>
        <w:lastRenderedPageBreak/>
        <w:t>È escluso il trattam</w:t>
      </w:r>
      <w:r>
        <w:t>ento di dati sensibili o giudiziari che, se eventualmente forniti dall’utente, saranno cancellati.</w:t>
      </w:r>
    </w:p>
    <w:p w:rsidR="00AD2621" w:rsidRDefault="00820BD0">
      <w:pPr>
        <w:pStyle w:val="Heading3"/>
        <w:numPr>
          <w:ilvl w:val="2"/>
          <w:numId w:val="2"/>
        </w:numPr>
      </w:pPr>
      <w:r>
        <w:t xml:space="preserve">5.3 </w:t>
      </w:r>
      <w:r>
        <w:t>C</w:t>
      </w:r>
      <w:r>
        <w:rPr>
          <w:i/>
          <w:iCs/>
        </w:rPr>
        <w:t>ookie</w:t>
      </w:r>
      <w:r>
        <w:t xml:space="preserve"> utilizzati</w:t>
      </w:r>
    </w:p>
    <w:p w:rsidR="00AD2621" w:rsidRDefault="00820BD0">
      <w:pPr>
        <w:pStyle w:val="BodyText"/>
        <w:numPr>
          <w:ilvl w:val="2"/>
          <w:numId w:val="2"/>
        </w:numPr>
      </w:pPr>
      <w:r>
        <w:t xml:space="preserve">I </w:t>
      </w:r>
      <w:r>
        <w:rPr>
          <w:i/>
          <w:iCs/>
        </w:rPr>
        <w:t>cookie</w:t>
      </w:r>
      <w:r>
        <w:t xml:space="preserve"> sono stringhe archiviate nel </w:t>
      </w:r>
      <w:r>
        <w:t>computer de</w:t>
      </w:r>
      <w:r>
        <w:t xml:space="preserve">ll’utente dai siti web visitati </w:t>
      </w:r>
      <w:r>
        <w:t>o</w:t>
      </w:r>
      <w:r>
        <w:t xml:space="preserve"> da altri a questi </w:t>
      </w:r>
      <w:r w:rsidRPr="00D74EE4">
        <w:t>collegati (“terze parti”).</w:t>
      </w:r>
    </w:p>
    <w:p w:rsidR="00D74EE4" w:rsidRPr="00D74EE4" w:rsidRDefault="00D74EE4" w:rsidP="00D74EE4">
      <w:pPr>
        <w:pStyle w:val="BodyText"/>
        <w:numPr>
          <w:ilvl w:val="2"/>
          <w:numId w:val="2"/>
        </w:numPr>
        <w:rPr>
          <w:rFonts w:hint="eastAsia"/>
        </w:rPr>
      </w:pPr>
      <w:r w:rsidRPr="00D74EE4">
        <w:t>In questo sito non sono utilizzati cookie per la profilazione degli utenti. né vengono impiegati altri metodi di tracciamento.</w:t>
      </w:r>
    </w:p>
    <w:p w:rsidR="00AD2621" w:rsidRDefault="00820BD0">
      <w:pPr>
        <w:pStyle w:val="Heading2"/>
        <w:numPr>
          <w:ilvl w:val="1"/>
          <w:numId w:val="3"/>
        </w:numPr>
      </w:pPr>
      <w:r>
        <w:t>6. Comunicazione e diffusione</w:t>
      </w:r>
    </w:p>
    <w:p w:rsidR="00AD2621" w:rsidRDefault="00820BD0">
      <w:pPr>
        <w:pStyle w:val="BodyText"/>
        <w:rPr>
          <w:rFonts w:hint="eastAsia"/>
        </w:rPr>
      </w:pPr>
      <w:r>
        <w:t>I dati possono essere comunicati dal Titolare nello svolgimento delle proprie attività e per erogare i propri servizi, a:</w:t>
      </w:r>
    </w:p>
    <w:p w:rsidR="00AD2621" w:rsidRDefault="00820BD0">
      <w:pPr>
        <w:pStyle w:val="BodyText"/>
        <w:numPr>
          <w:ilvl w:val="0"/>
          <w:numId w:val="10"/>
        </w:numPr>
        <w:rPr>
          <w:rFonts w:hint="eastAsia"/>
        </w:rPr>
      </w:pPr>
      <w:r>
        <w:t>Pubbliche Amministrazioni;</w:t>
      </w:r>
    </w:p>
    <w:p w:rsidR="00AD2621" w:rsidRDefault="00820BD0">
      <w:pPr>
        <w:pStyle w:val="BodyText"/>
        <w:numPr>
          <w:ilvl w:val="0"/>
          <w:numId w:val="10"/>
        </w:numPr>
        <w:rPr>
          <w:rFonts w:hint="eastAsia"/>
        </w:rPr>
      </w:pPr>
      <w:r>
        <w:t>Fornitori di ser</w:t>
      </w:r>
      <w:r>
        <w:t xml:space="preserve">vizi tecnici, </w:t>
      </w:r>
      <w:r>
        <w:rPr>
          <w:i/>
          <w:iCs/>
        </w:rPr>
        <w:t>hosting provider</w:t>
      </w:r>
      <w:r>
        <w:t xml:space="preserve"> e </w:t>
      </w:r>
      <w:r>
        <w:rPr>
          <w:i/>
          <w:iCs/>
        </w:rPr>
        <w:t>cloud service provider</w:t>
      </w:r>
      <w:r>
        <w:t>;</w:t>
      </w:r>
    </w:p>
    <w:p w:rsidR="00AD2621" w:rsidRDefault="00820BD0">
      <w:pPr>
        <w:pStyle w:val="BodyText"/>
        <w:numPr>
          <w:ilvl w:val="0"/>
          <w:numId w:val="10"/>
        </w:numPr>
        <w:rPr>
          <w:rFonts w:hint="eastAsia"/>
        </w:rPr>
      </w:pPr>
      <w:r>
        <w:t>Autorità Giudiziaria.</w:t>
      </w:r>
    </w:p>
    <w:p w:rsidR="00AD2621" w:rsidRDefault="00820BD0">
      <w:pPr>
        <w:pStyle w:val="BodyText"/>
        <w:rPr>
          <w:rFonts w:hint="eastAsia"/>
        </w:rPr>
      </w:pPr>
      <w:r>
        <w:t>I dati raccolti non saranno oggetto di diffusione o comunicazione a terzi, se non nei casi previsti dalla informativa e dalla legge e, comunque, con le modalità da queste consen</w:t>
      </w:r>
      <w:r>
        <w:t>tite. I dati potranno venire a conoscenza del personale dell’Istituto, nell’ambito delle rispettive funzioni e in conformità alle istruzioni ricevute, soltanto per il conseguimento delle finalità indicate in questa informativa.</w:t>
      </w:r>
    </w:p>
    <w:p w:rsidR="00AD2621" w:rsidRDefault="00820BD0">
      <w:pPr>
        <w:pStyle w:val="BodyText"/>
        <w:rPr>
          <w:rFonts w:hint="eastAsia"/>
        </w:rPr>
      </w:pPr>
      <w:r>
        <w:t>I destinatari sono nominati,</w:t>
      </w:r>
      <w:r>
        <w:t xml:space="preserve"> se necessario, Responsabili del trattamento da parte del Titolare, cui può essere richiesto </w:t>
      </w:r>
      <w:r>
        <w:t xml:space="preserve">il loro </w:t>
      </w:r>
      <w:r>
        <w:t xml:space="preserve">elenco aggiornato. Questi ultimi, in base al contratto stipulato, sono tenuti a utilizzare i dati personali esclusivamente per le finalità indicate dal </w:t>
      </w:r>
      <w:r>
        <w:t>Titolare, a non conservarli oltre la durata indicata né a trasmetterli a terzi senza la sua esplicita autorizzazione.</w:t>
      </w:r>
    </w:p>
    <w:p w:rsidR="00AD2621" w:rsidRDefault="00820BD0">
      <w:pPr>
        <w:pStyle w:val="BodyText"/>
      </w:pPr>
      <w:r>
        <w:t>I dati personali forniti dagli utenti che inoltrano richieste di informazioni e suggerimenti sono utilizzati al solo fine di eseguire il s</w:t>
      </w:r>
      <w:r>
        <w:t>ervizio o la prestazione richiesta e sono eventualmente comunicati ad altre aree all’interno dell’Istituto o ad altri soggetti pubblici o privati nel solo caso in cui ciò sia necessario per completare la richiesta.</w:t>
      </w:r>
    </w:p>
    <w:p w:rsidR="00770053" w:rsidRDefault="00770053">
      <w:pPr>
        <w:pStyle w:val="BodyText"/>
        <w:rPr>
          <w:rFonts w:hint="eastAsia"/>
        </w:rPr>
      </w:pPr>
      <w:r w:rsidRPr="00770053">
        <w:t>I dati non sono trasferiti a paesi extra UE.</w:t>
      </w:r>
    </w:p>
    <w:p w:rsidR="00AD2621" w:rsidRDefault="00820BD0">
      <w:pPr>
        <w:pStyle w:val="Heading2"/>
        <w:numPr>
          <w:ilvl w:val="1"/>
          <w:numId w:val="3"/>
        </w:numPr>
      </w:pPr>
      <w:r>
        <w:t>7. Modalità di trattamento</w:t>
      </w:r>
    </w:p>
    <w:p w:rsidR="00AD2621" w:rsidRDefault="00820BD0">
      <w:pPr>
        <w:pStyle w:val="BodyText"/>
        <w:numPr>
          <w:ilvl w:val="0"/>
          <w:numId w:val="5"/>
        </w:numPr>
        <w:rPr>
          <w:rFonts w:hint="eastAsia"/>
        </w:rPr>
      </w:pPr>
      <w:r>
        <w:t xml:space="preserve">Il trattamento dei dati personali  viene effettuato prevalentemente utilizzando procedure e supporti elettronici e in modo lecito, corretto, pertinente, limitato a quanto necessario al raggiungimento delle finalità del </w:t>
      </w:r>
      <w:r>
        <w:t>trattamento, per il solo tempo necessario a conseguire gli scopi per cui sono stati raccolti e comunque in conformità ai principi indicati nell’art. 5 del Regolamento.</w:t>
      </w:r>
    </w:p>
    <w:p w:rsidR="00AD2621" w:rsidRDefault="00820BD0">
      <w:pPr>
        <w:pStyle w:val="BodyText"/>
        <w:numPr>
          <w:ilvl w:val="0"/>
          <w:numId w:val="5"/>
        </w:numPr>
        <w:rPr>
          <w:rFonts w:hint="eastAsia"/>
        </w:rPr>
      </w:pPr>
      <w:r>
        <w:lastRenderedPageBreak/>
        <w:t>Specifiche misure di sicurezza sono osservate per prevenire la perdita dei dati, usi ill</w:t>
      </w:r>
      <w:r>
        <w:t>eciti o non corretti e accessi non autorizzati.</w:t>
      </w:r>
    </w:p>
    <w:p w:rsidR="00AD2621" w:rsidRDefault="00820BD0">
      <w:pPr>
        <w:pStyle w:val="Heading2"/>
        <w:numPr>
          <w:ilvl w:val="1"/>
          <w:numId w:val="3"/>
        </w:numPr>
      </w:pPr>
      <w:r>
        <w:t>8. Luogo di trattamento dei dati</w:t>
      </w:r>
    </w:p>
    <w:p w:rsidR="00AD2621" w:rsidRDefault="00820BD0">
      <w:pPr>
        <w:pStyle w:val="BodyText"/>
        <w:numPr>
          <w:ilvl w:val="0"/>
          <w:numId w:val="5"/>
        </w:numPr>
        <w:rPr>
          <w:rFonts w:hint="eastAsia"/>
        </w:rPr>
      </w:pPr>
      <w:r>
        <w:t>I trattamenti di dati personali connessi ai servizi web di questo sito hanno luogo presso le strutture dell’INFN e sono curati solo da personale tecnico dell’ufficio incaricat</w:t>
      </w:r>
      <w:r>
        <w:t xml:space="preserve">o del trattamento, oppure dai </w:t>
      </w:r>
      <w:r>
        <w:t>R</w:t>
      </w:r>
      <w:r>
        <w:t xml:space="preserve">esponsabili designati dal </w:t>
      </w:r>
      <w:r>
        <w:t>T</w:t>
      </w:r>
      <w:r>
        <w:t>itolare che operano all’interno dell’unione europea.</w:t>
      </w:r>
    </w:p>
    <w:p w:rsidR="00AD2621" w:rsidRDefault="00820BD0">
      <w:pPr>
        <w:pStyle w:val="Heading2"/>
        <w:numPr>
          <w:ilvl w:val="1"/>
          <w:numId w:val="5"/>
        </w:numPr>
      </w:pPr>
      <w:r>
        <w:t>9. Diritti degli interessati</w:t>
      </w:r>
    </w:p>
    <w:p w:rsidR="00AD2621" w:rsidRDefault="00820BD0">
      <w:pPr>
        <w:pStyle w:val="BodyText"/>
        <w:rPr>
          <w:rFonts w:hint="eastAsia"/>
        </w:rPr>
      </w:pPr>
      <w:r>
        <w:t xml:space="preserve">Gli interessati hanno il diritto di chiedere al </w:t>
      </w:r>
      <w:r>
        <w:t>T</w:t>
      </w:r>
      <w:r>
        <w:t>itolare l’accesso ai dati personali e la rettifica o la cancellazio</w:t>
      </w:r>
      <w:r>
        <w:t>ne degli stessi o la limitazione del trattamento che li riguarda o di opporsi al trattamento  secondo quanto previsto dagli artt. 15 e seguenti del Regolamento. L’apposita istanza deve essere presentata contattando il Responsabile della protezione dei dati</w:t>
      </w:r>
      <w:r>
        <w:t xml:space="preserve"> all’indirizzo sopra indicato.</w:t>
      </w:r>
    </w:p>
    <w:p w:rsidR="00AD2621" w:rsidRDefault="00820BD0">
      <w:pPr>
        <w:pStyle w:val="BodyText"/>
        <w:rPr>
          <w:rFonts w:hint="eastAsia"/>
        </w:rPr>
      </w:pPr>
      <w:r>
        <w:t>Gli interessati hanno anche il diritto di proporre reclamo al Garante per la protezione dei dati personali o di adire le opportune sedi giudiziarie (artt. 77 e 79 del Regolamento).</w:t>
      </w:r>
    </w:p>
    <w:p w:rsidR="00AD2621" w:rsidRDefault="00820BD0">
      <w:pPr>
        <w:pStyle w:val="Heading2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10. Aggiornamento</w:t>
      </w:r>
    </w:p>
    <w:p w:rsidR="00AD2621" w:rsidRDefault="00820BD0">
      <w:pPr>
        <w:pStyle w:val="BodyText"/>
        <w:rPr>
          <w:rFonts w:hint="eastAsia"/>
        </w:rPr>
      </w:pPr>
      <w:r>
        <w:t>Questa informativa è sogge</w:t>
      </w:r>
      <w:r>
        <w:t>tta ad aggiornamenti in ottemperanza alla normativa nazionale e comunitaria in materia, si invita quindi a consultarla periodicamente.</w:t>
      </w:r>
    </w:p>
    <w:p w:rsidR="00AD2621" w:rsidRDefault="00820BD0">
      <w:pPr>
        <w:pStyle w:val="BodyText"/>
        <w:rPr>
          <w:rFonts w:hint="eastAsia"/>
        </w:rPr>
      </w:pPr>
      <w:r>
        <w:t>Nel caso di mancata accettazione delle modifiche apportate a questa informativa, l’utente può richiedere al Titolare la c</w:t>
      </w:r>
      <w:r>
        <w:t>ancellazione dei propri dati personali.</w:t>
      </w:r>
    </w:p>
    <w:p w:rsidR="00AD2621" w:rsidRDefault="00820BD0">
      <w:pPr>
        <w:pStyle w:val="BodyText"/>
        <w:rPr>
          <w:rFonts w:hint="eastAsia"/>
        </w:rPr>
      </w:pPr>
      <w:r>
        <w:t xml:space="preserve">Salvo quanto diversamente specificato, la </w:t>
      </w:r>
      <w:r>
        <w:rPr>
          <w:i/>
          <w:iCs/>
        </w:rPr>
        <w:t>privacy policy</w:t>
      </w:r>
      <w:r>
        <w:t xml:space="preserve"> pubblicata sul sito continua ad applicarsi al trattamento dei dati personali raccolti sino al momento della sua sostituzione.</w:t>
      </w:r>
    </w:p>
    <w:sectPr w:rsidR="00AD262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35" w:right="1134" w:bottom="1762" w:left="1134" w:header="259" w:footer="403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D0" w:rsidRDefault="00820BD0">
      <w:pPr>
        <w:rPr>
          <w:rFonts w:hint="eastAsia"/>
        </w:rPr>
      </w:pPr>
      <w:r>
        <w:separator/>
      </w:r>
    </w:p>
  </w:endnote>
  <w:endnote w:type="continuationSeparator" w:id="0">
    <w:p w:rsidR="00820BD0" w:rsidRDefault="00820B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 Sans">
    <w:altName w:val="Times New Roman"/>
    <w:charset w:val="01"/>
    <w:family w:val="auto"/>
    <w:pitch w:val="default"/>
  </w:font>
  <w:font w:name="DejaVu Sans Condensed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charset w:val="01"/>
    <w:family w:val="auto"/>
    <w:pitch w:val="default"/>
  </w:font>
  <w:font w:name="Minion Pro">
    <w:altName w:val="Times New Roman"/>
    <w:charset w:val="01"/>
    <w:family w:val="auto"/>
    <w:pitch w:val="default"/>
  </w:font>
  <w:font w:name="DejaVu Serif">
    <w:altName w:val="Times New Roman"/>
    <w:charset w:val="01"/>
    <w:family w:val="auto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auto"/>
    <w:pitch w:val="default"/>
  </w:font>
  <w:font w:name="DejaVu Sans Mono">
    <w:altName w:val="Times New Roman"/>
    <w:charset w:val="01"/>
    <w:family w:val="auto"/>
    <w:pitch w:val="default"/>
  </w:font>
  <w:font w:name="Oswald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Ind w:w="115" w:type="dxa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3414"/>
      <w:gridCol w:w="5508"/>
    </w:tblGrid>
    <w:tr w:rsidR="00AD2621">
      <w:tc>
        <w:tcPr>
          <w:tcW w:w="716" w:type="dxa"/>
        </w:tcPr>
        <w:p w:rsidR="00AD2621" w:rsidRDefault="00820BD0">
          <w:pPr>
            <w:pStyle w:val="Contenutotabella"/>
            <w:widowControl w:val="0"/>
            <w:rPr>
              <w:rFonts w:hint="eastAsia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355600" cy="355600"/>
                <wp:effectExtent l="0" t="0" r="0" b="0"/>
                <wp:docPr id="2" name="Immagine2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4" w:type="dxa"/>
        </w:tcPr>
        <w:p w:rsidR="00AD2621" w:rsidRDefault="00820BD0">
          <w:pPr>
            <w:pStyle w:val="Footer"/>
            <w:widowControl w:val="0"/>
            <w:tabs>
              <w:tab w:val="center" w:pos="4320"/>
              <w:tab w:val="right" w:pos="9809"/>
            </w:tabs>
            <w:rPr>
              <w:rFonts w:hint="eastAsia"/>
              <w:sz w:val="14"/>
              <w:szCs w:val="14"/>
            </w:rPr>
          </w:pPr>
          <w:r>
            <w:rPr>
              <w:rFonts w:ascii="Oswald" w:eastAsia="Times New Roman" w:hAnsi="Oswald"/>
              <w:color w:val="404040"/>
              <w:sz w:val="14"/>
              <w:szCs w:val="14"/>
              <w:lang w:val="en-US" w:bidi="en-US"/>
            </w:rPr>
            <w:t>Istituto Nazionale di Fisica Nucleare</w:t>
          </w:r>
          <w:r>
            <w:rPr>
              <w:rFonts w:ascii="Oswald" w:eastAsia="Times New Roman" w:hAnsi="Oswald"/>
              <w:color w:val="404040"/>
              <w:sz w:val="14"/>
              <w:szCs w:val="14"/>
              <w:lang w:val="en-US" w:bidi="en-US"/>
            </w:rPr>
            <w:br/>
          </w:r>
          <w:r>
            <w:rPr>
              <w:rFonts w:ascii="Oswald" w:eastAsia="Times New Roman" w:hAnsi="Oswald"/>
              <w:smallCaps/>
              <w:color w:val="404040"/>
              <w:sz w:val="14"/>
              <w:szCs w:val="14"/>
              <w:lang w:val="en-US" w:bidi="en-US"/>
            </w:rPr>
            <w:t xml:space="preserve">Responsabile </w:t>
          </w:r>
          <w:r>
            <w:rPr>
              <w:rFonts w:ascii="Oswald" w:eastAsia="Times New Roman" w:hAnsi="Oswald"/>
              <w:smallCaps/>
              <w:color w:val="404040"/>
              <w:sz w:val="14"/>
              <w:szCs w:val="14"/>
              <w:lang w:val="en-US" w:bidi="en-US"/>
            </w:rPr>
            <w:t>Protezione Dati</w:t>
          </w:r>
          <w:r>
            <w:rPr>
              <w:rFonts w:ascii="Oswald" w:eastAsia="Times New Roman" w:hAnsi="Oswald"/>
              <w:color w:val="404040"/>
              <w:sz w:val="14"/>
              <w:szCs w:val="14"/>
              <w:lang w:val="en-US" w:bidi="en-US"/>
            </w:rPr>
            <w:br/>
            <w:t>dpo@infn.it</w:t>
          </w:r>
        </w:p>
      </w:tc>
      <w:tc>
        <w:tcPr>
          <w:tcW w:w="5508" w:type="dxa"/>
          <w:vAlign w:val="center"/>
        </w:tcPr>
        <w:p w:rsidR="00AD2621" w:rsidRDefault="00820BD0">
          <w:pPr>
            <w:pStyle w:val="Contenutotabella"/>
            <w:widowControl w:val="0"/>
            <w:jc w:val="right"/>
            <w:rPr>
              <w:rFonts w:hint="eastAsia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70053">
            <w:rPr>
              <w:noProof/>
            </w:rPr>
            <w:t>4</w:t>
          </w:r>
          <w:r>
            <w:fldChar w:fldCharType="end"/>
          </w:r>
        </w:p>
      </w:tc>
    </w:tr>
  </w:tbl>
  <w:p w:rsidR="00AD2621" w:rsidRDefault="00AD2621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1" w:type="dxa"/>
      <w:tblInd w:w="115" w:type="dxa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25"/>
      <w:gridCol w:w="3510"/>
      <w:gridCol w:w="5506"/>
    </w:tblGrid>
    <w:tr w:rsidR="00AD2621">
      <w:tc>
        <w:tcPr>
          <w:tcW w:w="625" w:type="dxa"/>
        </w:tcPr>
        <w:p w:rsidR="00AD2621" w:rsidRDefault="00820BD0">
          <w:pPr>
            <w:pStyle w:val="Contenutotabella"/>
            <w:widowControl w:val="0"/>
            <w:rPr>
              <w:rFonts w:hint="eastAsia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355600" cy="355600"/>
                <wp:effectExtent l="0" t="0" r="0" b="0"/>
                <wp:docPr id="3" name="Immagine6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6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</w:tcPr>
        <w:p w:rsidR="00AD2621" w:rsidRDefault="00820BD0">
          <w:pPr>
            <w:pStyle w:val="Footer"/>
            <w:widowControl w:val="0"/>
            <w:tabs>
              <w:tab w:val="center" w:pos="4320"/>
              <w:tab w:val="right" w:pos="9809"/>
            </w:tabs>
            <w:rPr>
              <w:rFonts w:hint="eastAsia"/>
            </w:rPr>
          </w:pPr>
          <w:r>
            <w:rPr>
              <w:rFonts w:ascii="Oswald" w:eastAsia="Times New Roman" w:hAnsi="Oswald"/>
              <w:color w:val="404040"/>
              <w:sz w:val="16"/>
              <w:szCs w:val="16"/>
              <w:lang w:val="en-US" w:bidi="en-US"/>
            </w:rPr>
            <w:t>Istituto Nazionale di Fisica Nucleare</w:t>
          </w:r>
          <w:r>
            <w:rPr>
              <w:rFonts w:ascii="Oswald" w:eastAsia="Times New Roman" w:hAnsi="Oswald"/>
              <w:color w:val="404040"/>
              <w:sz w:val="16"/>
              <w:szCs w:val="16"/>
              <w:lang w:val="en-US" w:bidi="en-US"/>
            </w:rPr>
            <w:br/>
          </w:r>
          <w:r>
            <w:rPr>
              <w:rFonts w:ascii="Oswald" w:eastAsia="Times New Roman" w:hAnsi="Oswald"/>
              <w:smallCaps/>
              <w:color w:val="404040"/>
              <w:sz w:val="16"/>
              <w:szCs w:val="16"/>
              <w:lang w:val="en-US" w:bidi="en-US"/>
            </w:rPr>
            <w:t>Responsabile Protezione Dati</w:t>
          </w:r>
          <w:r>
            <w:rPr>
              <w:rFonts w:ascii="Oswald" w:eastAsia="Times New Roman" w:hAnsi="Oswald"/>
              <w:color w:val="404040"/>
              <w:sz w:val="16"/>
              <w:szCs w:val="16"/>
              <w:lang w:val="en-US" w:bidi="en-US"/>
            </w:rPr>
            <w:br/>
            <w:t>dpo@infn.it</w:t>
          </w:r>
        </w:p>
      </w:tc>
      <w:tc>
        <w:tcPr>
          <w:tcW w:w="5506" w:type="dxa"/>
        </w:tcPr>
        <w:p w:rsidR="00AD2621" w:rsidRDefault="00820BD0">
          <w:pPr>
            <w:pStyle w:val="Contenutotabella"/>
            <w:widowControl w:val="0"/>
            <w:jc w:val="right"/>
            <w:rPr>
              <w:rFonts w:hint="eastAsia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70053">
            <w:rPr>
              <w:noProof/>
            </w:rPr>
            <w:t>1</w:t>
          </w:r>
          <w:r>
            <w:fldChar w:fldCharType="end"/>
          </w:r>
        </w:p>
      </w:tc>
    </w:tr>
  </w:tbl>
  <w:p w:rsidR="00AD2621" w:rsidRDefault="00AD2621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D0" w:rsidRDefault="00820BD0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820BD0" w:rsidRDefault="00820BD0">
      <w:pPr>
        <w:rPr>
          <w:rFonts w:hint="eastAsia"/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21" w:rsidRDefault="00820BD0">
    <w:pPr>
      <w:pStyle w:val="Header"/>
      <w:rPr>
        <w:rFonts w:hint="eastAsia"/>
      </w:rPr>
    </w:pPr>
    <w:r>
      <w:t xml:space="preserve">Informazioni sul trattamento dei dati personali e sull’uso di </w:t>
    </w:r>
    <w:r>
      <w:rPr>
        <w:i w:val="0"/>
      </w:rPr>
      <w:t>cookie</w:t>
    </w:r>
    <w:r>
      <w:tab/>
      <w:t>1 settembre 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21" w:rsidRDefault="00AD2621">
    <w:pPr>
      <w:pStyle w:val="Rigadiintestazioneasinistra"/>
      <w:rPr>
        <w:rFonts w:hint="eastAsia"/>
      </w:rPr>
    </w:pPr>
  </w:p>
  <w:tbl>
    <w:tblPr>
      <w:tblW w:w="9849" w:type="dxa"/>
      <w:tblLayout w:type="fixed"/>
      <w:tblLook w:val="04A0" w:firstRow="1" w:lastRow="0" w:firstColumn="1" w:lastColumn="0" w:noHBand="0" w:noVBand="1"/>
    </w:tblPr>
    <w:tblGrid>
      <w:gridCol w:w="2515"/>
      <w:gridCol w:w="7334"/>
    </w:tblGrid>
    <w:tr w:rsidR="00AD2621">
      <w:trPr>
        <w:trHeight w:val="1040"/>
      </w:trPr>
      <w:tc>
        <w:tcPr>
          <w:tcW w:w="2515" w:type="dxa"/>
          <w:vAlign w:val="center"/>
        </w:tcPr>
        <w:p w:rsidR="00AD2621" w:rsidRDefault="00820BD0">
          <w:pPr>
            <w:pStyle w:val="Header"/>
            <w:widowControl w:val="0"/>
            <w:rPr>
              <w:rFonts w:hint="eastAsia"/>
            </w:rPr>
          </w:pPr>
          <w:r>
            <w:rPr>
              <w:rFonts w:eastAsia="Times New Roman"/>
              <w:color w:val="1F688E"/>
              <w:sz w:val="22"/>
              <w:szCs w:val="22"/>
              <w:lang w:val="en-US" w:bidi="en-US"/>
            </w:rPr>
            <w:softHyphen/>
          </w:r>
          <w:r>
            <w:rPr>
              <w:rFonts w:eastAsia="Times New Roman"/>
              <w:color w:val="1F688E"/>
              <w:sz w:val="22"/>
              <w:szCs w:val="22"/>
              <w:lang w:val="en-US" w:bidi="en-US"/>
            </w:rPr>
            <w:softHyphen/>
          </w:r>
          <w:r>
            <w:rPr>
              <w:rFonts w:eastAsia="Times New Roman"/>
              <w:color w:val="1F688E"/>
              <w:sz w:val="22"/>
              <w:szCs w:val="22"/>
              <w:lang w:val="en-US" w:bidi="en-US"/>
            </w:rPr>
            <w:softHyphen/>
          </w:r>
          <w:r>
            <w:rPr>
              <w:rFonts w:eastAsia="Times New Roman"/>
              <w:color w:val="1F688E"/>
              <w:sz w:val="22"/>
              <w:szCs w:val="22"/>
              <w:lang w:val="en-US" w:bidi="en-US"/>
            </w:rPr>
            <w:softHyphen/>
          </w:r>
          <w:r>
            <w:rPr>
              <w:rFonts w:eastAsia="Times New Roman"/>
              <w:color w:val="1F688E"/>
              <w:sz w:val="22"/>
              <w:szCs w:val="22"/>
              <w:lang w:val="en-US" w:bidi="en-US"/>
            </w:rPr>
            <w:softHyphen/>
          </w:r>
          <w:r>
            <w:rPr>
              <w:rFonts w:eastAsia="Times New Roman"/>
              <w:color w:val="1F688E"/>
              <w:sz w:val="22"/>
              <w:szCs w:val="22"/>
              <w:lang w:val="en-US" w:bidi="en-US"/>
            </w:rPr>
            <w:softHyphen/>
          </w:r>
          <w:r>
            <w:rPr>
              <w:rFonts w:eastAsia="Times New Roman"/>
              <w:color w:val="1F688E"/>
              <w:sz w:val="22"/>
              <w:szCs w:val="22"/>
              <w:lang w:val="en-US" w:bidi="en-US"/>
            </w:rPr>
            <w:softHyphen/>
          </w:r>
          <w:r>
            <w:rPr>
              <w:rFonts w:eastAsia="Times New Roman"/>
              <w:color w:val="1F688E"/>
              <w:sz w:val="22"/>
              <w:szCs w:val="22"/>
              <w:lang w:val="en-US" w:bidi="en-US"/>
            </w:rPr>
            <w:softHyphen/>
          </w:r>
          <w:r>
            <w:rPr>
              <w:noProof/>
              <w:lang w:val="en-US" w:eastAsia="en-US"/>
            </w:rPr>
            <w:drawing>
              <wp:inline distT="0" distB="0" distL="0" distR="0">
                <wp:extent cx="1296035" cy="720090"/>
                <wp:effectExtent l="0" t="0" r="0" b="0"/>
                <wp:docPr id="1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9" descr="logoci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3" w:type="dxa"/>
          <w:vAlign w:val="center"/>
        </w:tcPr>
        <w:p w:rsidR="00AD2621" w:rsidRDefault="00820BD0">
          <w:pPr>
            <w:pStyle w:val="Header"/>
            <w:widowControl w:val="0"/>
            <w:ind w:left="33" w:hanging="33"/>
            <w:rPr>
              <w:rFonts w:ascii="Oswald" w:eastAsia="Times New Roman" w:hAnsi="Oswald"/>
              <w:color w:val="020000"/>
              <w:sz w:val="22"/>
              <w:szCs w:val="22"/>
              <w:lang w:val="en-US" w:bidi="en-US"/>
            </w:rPr>
          </w:pPr>
          <w:r>
            <w:rPr>
              <w:rFonts w:ascii="Oswald" w:eastAsia="Times New Roman" w:hAnsi="Oswald"/>
              <w:color w:val="020000"/>
              <w:sz w:val="22"/>
              <w:szCs w:val="22"/>
              <w:lang w:val="en-US" w:bidi="en-US"/>
            </w:rPr>
            <w:t>Istituto Nazionale di Fisica Nucleare</w:t>
          </w:r>
        </w:p>
        <w:p w:rsidR="00AD2621" w:rsidRDefault="00820BD0">
          <w:pPr>
            <w:pStyle w:val="Header"/>
            <w:widowControl w:val="0"/>
            <w:rPr>
              <w:rFonts w:ascii="Oswald" w:eastAsia="Times New Roman" w:hAnsi="Oswald"/>
              <w:smallCaps/>
              <w:color w:val="1A6A90"/>
              <w:szCs w:val="20"/>
              <w:lang w:val="en-US" w:bidi="en-US"/>
            </w:rPr>
          </w:pPr>
          <w:r>
            <w:rPr>
              <w:rFonts w:ascii="Oswald" w:eastAsia="Times New Roman" w:hAnsi="Oswald"/>
              <w:smallCaps/>
              <w:color w:val="1A6A90"/>
              <w:szCs w:val="20"/>
              <w:lang w:val="en-US" w:bidi="en-US"/>
            </w:rPr>
            <w:t>Responsabile Protezione Dati</w:t>
          </w:r>
        </w:p>
      </w:tc>
    </w:tr>
  </w:tbl>
  <w:p w:rsidR="00AD2621" w:rsidRDefault="00AD2621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156E"/>
    <w:multiLevelType w:val="multilevel"/>
    <w:tmpl w:val="B6462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FA277F"/>
    <w:multiLevelType w:val="multilevel"/>
    <w:tmpl w:val="DA60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F362A9A"/>
    <w:multiLevelType w:val="multilevel"/>
    <w:tmpl w:val="1CA8A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9966E2"/>
    <w:multiLevelType w:val="multilevel"/>
    <w:tmpl w:val="8CA62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217477"/>
    <w:multiLevelType w:val="multilevel"/>
    <w:tmpl w:val="9A02ADD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DA1520C"/>
    <w:multiLevelType w:val="multilevel"/>
    <w:tmpl w:val="D50A89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57F05623"/>
    <w:multiLevelType w:val="multilevel"/>
    <w:tmpl w:val="6C22F0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7B07D1E"/>
    <w:multiLevelType w:val="multilevel"/>
    <w:tmpl w:val="51CC65A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7C522D45"/>
    <w:multiLevelType w:val="multilevel"/>
    <w:tmpl w:val="D9E4B7D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7D655322"/>
    <w:multiLevelType w:val="multilevel"/>
    <w:tmpl w:val="18281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2621"/>
    <w:rsid w:val="00770053"/>
    <w:rsid w:val="00820BD0"/>
    <w:rsid w:val="00AD2621"/>
    <w:rsid w:val="00D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628A"/>
  <w15:docId w15:val="{3D1C364C-280D-425C-8DB5-63F9EA7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DejaVu Sans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paragraph" w:styleId="Heading1">
    <w:name w:val="heading 1"/>
    <w:basedOn w:val="Titolo"/>
    <w:qFormat/>
    <w:pPr>
      <w:numPr>
        <w:numId w:val="1"/>
      </w:numPr>
      <w:spacing w:before="2592" w:after="562"/>
      <w:jc w:val="center"/>
      <w:outlineLvl w:val="0"/>
    </w:pPr>
    <w:rPr>
      <w:rFonts w:ascii="DejaVu Sans Condensed" w:eastAsia="DejaVu Sans" w:hAnsi="DejaVu Sans Condensed" w:cs="DejaVu Sans"/>
      <w:bCs/>
      <w:sz w:val="36"/>
      <w:szCs w:val="48"/>
    </w:rPr>
  </w:style>
  <w:style w:type="paragraph" w:styleId="Heading2">
    <w:name w:val="heading 2"/>
    <w:basedOn w:val="Titolo"/>
    <w:qFormat/>
    <w:pPr>
      <w:numPr>
        <w:ilvl w:val="1"/>
        <w:numId w:val="1"/>
      </w:numPr>
      <w:spacing w:before="680" w:after="454"/>
      <w:outlineLvl w:val="1"/>
    </w:pPr>
    <w:rPr>
      <w:rFonts w:ascii="DejaVu Sans Condensed" w:hAnsi="DejaVu Sans Condensed"/>
      <w:sz w:val="30"/>
      <w:szCs w:val="32"/>
    </w:rPr>
  </w:style>
  <w:style w:type="paragraph" w:styleId="Heading3">
    <w:name w:val="heading 3"/>
    <w:basedOn w:val="Titolo"/>
    <w:qFormat/>
    <w:pPr>
      <w:numPr>
        <w:ilvl w:val="2"/>
        <w:numId w:val="1"/>
      </w:numPr>
      <w:spacing w:before="454" w:after="340"/>
      <w:outlineLvl w:val="2"/>
    </w:pPr>
    <w:rPr>
      <w:rFonts w:ascii="DejaVu Sans Condensed" w:hAnsi="DejaVu Sans Condensed"/>
      <w:sz w:val="26"/>
    </w:rPr>
  </w:style>
  <w:style w:type="paragraph" w:styleId="Heading4">
    <w:name w:val="heading 4"/>
    <w:basedOn w:val="Titolo"/>
    <w:qFormat/>
    <w:pPr>
      <w:numPr>
        <w:ilvl w:val="3"/>
        <w:numId w:val="1"/>
      </w:numPr>
      <w:spacing w:before="397" w:after="227"/>
      <w:outlineLvl w:val="3"/>
    </w:pPr>
    <w:rPr>
      <w:rFonts w:ascii="DejaVu Sans Condensed" w:hAnsi="DejaVu Sans Condensed"/>
      <w:i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CollegamentoInternet">
    <w:name w:val="Collegamento Internet"/>
    <w:basedOn w:val="DefaultParagraphFont"/>
    <w:rPr>
      <w:color w:val="0000FF"/>
      <w:u w:val="single"/>
    </w:rPr>
  </w:style>
  <w:style w:type="character" w:customStyle="1" w:styleId="Enfasi">
    <w:name w:val="Enfasi"/>
    <w:basedOn w:val="DefaultParagraphFont"/>
    <w:qFormat/>
    <w:rPr>
      <w:i/>
      <w:iCs/>
    </w:rPr>
  </w:style>
  <w:style w:type="character" w:customStyle="1" w:styleId="TestocommentoCarattere">
    <w:name w:val="Testo commento Carattere"/>
    <w:basedOn w:val="DefaultParagraphFont"/>
    <w:qFormat/>
  </w:style>
  <w:style w:type="character" w:styleId="CommentReference">
    <w:name w:val="annotation reference"/>
    <w:basedOn w:val="DefaultParagraphFont"/>
    <w:qFormat/>
    <w:rPr>
      <w:sz w:val="18"/>
      <w:szCs w:val="18"/>
    </w:rPr>
  </w:style>
  <w:style w:type="character" w:customStyle="1" w:styleId="TestofumettoCarattere">
    <w:name w:val="Testo fumetto Carattere"/>
    <w:basedOn w:val="DefaultParagraphFont"/>
    <w:qFormat/>
    <w:rPr>
      <w:rFonts w:ascii="Lucida Grande" w:hAnsi="Lucida Grande"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Minion Pro" w:eastAsia="Droid Sans Fallback" w:hAnsi="Minion Pro" w:cs="FreeSans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  <w:jc w:val="both"/>
    </w:pPr>
    <w:rPr>
      <w:rFonts w:ascii="DejaVu Serif" w:hAnsi="DejaVu Serif"/>
    </w:rPr>
  </w:style>
  <w:style w:type="paragraph" w:styleId="List">
    <w:name w:val="List"/>
    <w:basedOn w:val="BodyText"/>
    <w:rPr>
      <w:rFonts w:ascii="DejaVu Sans" w:hAnsi="DejaVu Sans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/>
      <w:spacing w:before="1701" w:after="120"/>
      <w:jc w:val="center"/>
    </w:pPr>
    <w:rPr>
      <w:rFonts w:ascii="DejaVu Sans Condensed" w:eastAsia="WenQuanYi Micro Hei" w:hAnsi="DejaVu Sans Condensed" w:cs="Lohit Devanagari"/>
      <w:sz w:val="56"/>
      <w:szCs w:val="28"/>
    </w:rPr>
  </w:style>
  <w:style w:type="paragraph" w:customStyle="1" w:styleId="heading11">
    <w:name w:val="heading11"/>
    <w:basedOn w:val="Normal"/>
    <w:qFormat/>
    <w:pPr>
      <w:spacing w:before="280" w:after="280"/>
    </w:pPr>
    <w:rPr>
      <w:rFonts w:ascii="Times" w:hAnsi="Times"/>
      <w:sz w:val="20"/>
      <w:szCs w:val="20"/>
    </w:rPr>
  </w:style>
  <w:style w:type="paragraph" w:customStyle="1" w:styleId="heading41">
    <w:name w:val="heading41"/>
    <w:basedOn w:val="Normal"/>
    <w:qFormat/>
    <w:pPr>
      <w:spacing w:before="280" w:after="280"/>
    </w:pPr>
    <w:rPr>
      <w:rFonts w:ascii="Times" w:hAnsi="Times"/>
      <w:sz w:val="20"/>
      <w:szCs w:val="20"/>
    </w:rPr>
  </w:style>
  <w:style w:type="paragraph" w:styleId="CommentText">
    <w:name w:val="annotation text"/>
    <w:basedOn w:val="Normal"/>
    <w:qFormat/>
  </w:style>
  <w:style w:type="paragraph" w:styleId="BalloonText">
    <w:name w:val="Balloon Text"/>
    <w:basedOn w:val="Normal"/>
    <w:qFormat/>
    <w:rPr>
      <w:rFonts w:ascii="Lucida Grande" w:hAnsi="Lucida Grande"/>
      <w:sz w:val="18"/>
      <w:szCs w:val="18"/>
    </w:rPr>
  </w:style>
  <w:style w:type="paragraph" w:styleId="Subtitle">
    <w:name w:val="Subtitle"/>
    <w:basedOn w:val="Titolo"/>
    <w:qFormat/>
    <w:pPr>
      <w:spacing w:before="60" w:after="1128"/>
      <w:jc w:val="center"/>
    </w:pPr>
    <w:rPr>
      <w:rFonts w:ascii="DejaVu Sans Condensed" w:hAnsi="DejaVu Sans Condensed"/>
      <w:szCs w:val="36"/>
    </w:rPr>
  </w:style>
  <w:style w:type="paragraph" w:styleId="TOAHeading">
    <w:name w:val="toa heading"/>
    <w:basedOn w:val="Titolo"/>
    <w:qFormat/>
    <w:pPr>
      <w:suppressLineNumbers/>
    </w:pPr>
    <w:rPr>
      <w:b/>
      <w:bCs/>
      <w:sz w:val="32"/>
      <w:szCs w:val="32"/>
    </w:rPr>
  </w:style>
  <w:style w:type="paragraph" w:styleId="IndexHeading">
    <w:name w:val="index heading"/>
    <w:basedOn w:val="Titolo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Titolo"/>
    <w:qFormat/>
    <w:pPr>
      <w:suppressLineNumbers/>
    </w:pPr>
    <w:rPr>
      <w:b/>
      <w:bCs/>
      <w:sz w:val="32"/>
      <w:szCs w:val="32"/>
    </w:rPr>
  </w:style>
  <w:style w:type="paragraph" w:customStyle="1" w:styleId="Titoloindiceoggetti">
    <w:name w:val="Titolo indice oggetti"/>
    <w:basedOn w:val="Titolo"/>
    <w:qFormat/>
    <w:pPr>
      <w:suppressLineNumbers/>
    </w:pPr>
    <w:rPr>
      <w:b/>
      <w:bCs/>
      <w:sz w:val="32"/>
      <w:szCs w:val="32"/>
    </w:rPr>
  </w:style>
  <w:style w:type="paragraph" w:customStyle="1" w:styleId="Titoloindicepersonalizzato">
    <w:name w:val="Titolo indice personalizzato"/>
    <w:basedOn w:val="Titolo"/>
    <w:qFormat/>
    <w:pPr>
      <w:suppressLineNumbers/>
    </w:pPr>
    <w:rPr>
      <w:b/>
      <w:bCs/>
      <w:sz w:val="32"/>
      <w:szCs w:val="32"/>
    </w:rPr>
  </w:style>
  <w:style w:type="paragraph" w:customStyle="1" w:styleId="Titoloindicetabella">
    <w:name w:val="Titolo indice tabella"/>
    <w:basedOn w:val="Titolo"/>
    <w:qFormat/>
    <w:pPr>
      <w:suppressLineNumbers/>
    </w:pPr>
    <w:rPr>
      <w:b/>
      <w:bCs/>
      <w:sz w:val="32"/>
      <w:szCs w:val="32"/>
    </w:rPr>
  </w:style>
  <w:style w:type="paragraph" w:styleId="FootnoteText">
    <w:name w:val="footnote text"/>
    <w:basedOn w:val="Normal"/>
    <w:pPr>
      <w:suppressLineNumbers/>
      <w:suppressAutoHyphens w:val="0"/>
      <w:spacing w:after="58"/>
      <w:ind w:left="339" w:hanging="339"/>
      <w:contextualSpacing/>
      <w:jc w:val="both"/>
    </w:pPr>
    <w:rPr>
      <w:rFonts w:ascii="DejaVu Serif" w:hAnsi="DejaVu Serif"/>
      <w:sz w:val="20"/>
      <w:szCs w:val="2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ascii="DejaVu Sans Condensed" w:hAnsi="DejaVu Sans Condensed"/>
      <w:i/>
      <w:sz w:val="20"/>
    </w:rPr>
  </w:style>
  <w:style w:type="paragraph" w:customStyle="1" w:styleId="Contenutotabella">
    <w:name w:val="Contenuto tabella"/>
    <w:basedOn w:val="Normal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Rigadiintestazioneasinistra">
    <w:name w:val="Riga di intestazione a sinistra"/>
    <w:basedOn w:val="Normal"/>
    <w:qFormat/>
    <w:pPr>
      <w:suppressLineNumbers/>
      <w:tabs>
        <w:tab w:val="center" w:pos="4820"/>
        <w:tab w:val="right" w:pos="964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.ne.centrale@pec.infn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esidenza@presid.infn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infn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Franco Gonella</cp:lastModifiedBy>
  <cp:revision>10</cp:revision>
  <dcterms:created xsi:type="dcterms:W3CDTF">2018-11-22T13:06:00Z</dcterms:created>
  <dcterms:modified xsi:type="dcterms:W3CDTF">2024-04-15T08:12:00Z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